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Ind w:w="108" w:type="dxa"/>
        <w:tblLook w:val="04A0" w:firstRow="1" w:lastRow="0" w:firstColumn="1" w:lastColumn="0" w:noHBand="0" w:noVBand="1"/>
      </w:tblPr>
      <w:tblGrid>
        <w:gridCol w:w="1920"/>
        <w:gridCol w:w="520"/>
        <w:gridCol w:w="1043"/>
        <w:gridCol w:w="1468"/>
        <w:gridCol w:w="992"/>
        <w:gridCol w:w="1899"/>
        <w:gridCol w:w="1157"/>
        <w:gridCol w:w="1250"/>
      </w:tblGrid>
      <w:tr w:rsidR="009E49E9" w:rsidRPr="009E49E9" w:rsidTr="009E49E9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bookmarkStart w:id="0" w:name="RANGE!A1:H76"/>
            <w:bookmarkStart w:id="1" w:name="_GoBack"/>
            <w:bookmarkEnd w:id="0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9E49E9" w:rsidRPr="009E49E9">
              <w:trPr>
                <w:trHeight w:val="360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FF0000"/>
                  <w:hideMark/>
                </w:tcPr>
                <w:p w:rsidR="009E49E9" w:rsidRPr="009E49E9" w:rsidRDefault="009E49E9" w:rsidP="009E49E9">
                  <w:pPr>
                    <w:spacing w:after="0" w:line="240" w:lineRule="auto"/>
                    <w:jc w:val="center"/>
                    <w:rPr>
                      <w:rFonts w:ascii="Bangle" w:eastAsia="Times New Roman" w:hAnsi="Bangle" w:cs="Arial"/>
                      <w:b/>
                      <w:bCs/>
                      <w:color w:val="FFFFFF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n-CA"/>
                    </w:rPr>
                    <w:drawing>
                      <wp:anchor distT="0" distB="0" distL="114300" distR="114300" simplePos="0" relativeHeight="251658240" behindDoc="0" locked="0" layoutInCell="1" allowOverlap="1" wp14:anchorId="458A2B26" wp14:editId="60A62027">
                        <wp:simplePos x="0" y="0"/>
                        <wp:positionH relativeFrom="column">
                          <wp:posOffset>1466850</wp:posOffset>
                        </wp:positionH>
                        <wp:positionV relativeFrom="paragraph">
                          <wp:posOffset>15875</wp:posOffset>
                        </wp:positionV>
                        <wp:extent cx="257175" cy="171450"/>
                        <wp:effectExtent l="0" t="0" r="9525" b="0"/>
                        <wp:wrapNone/>
                        <wp:docPr id="2" name="Image 2" descr="drapo canada copi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0" name="Picture 3" descr="drapo canada co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49E9">
                    <w:rPr>
                      <w:rFonts w:ascii="Bangle" w:eastAsia="Times New Roman" w:hAnsi="Bangle" w:cs="Arial"/>
                      <w:b/>
                      <w:bCs/>
                      <w:color w:val="FFFFFF"/>
                      <w:sz w:val="16"/>
                      <w:szCs w:val="16"/>
                      <w:lang w:eastAsia="en-CA"/>
                    </w:rPr>
                    <w:t xml:space="preserve">CANADA </w:t>
                  </w:r>
                </w:p>
              </w:tc>
            </w:tr>
          </w:tbl>
          <w:p w:rsidR="009E49E9" w:rsidRPr="009E49E9" w:rsidRDefault="009E49E9" w:rsidP="009E4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9E49E9" w:rsidRPr="009E49E9">
              <w:trPr>
                <w:trHeight w:val="360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single" w:sz="8" w:space="0" w:color="FFFFFF"/>
                    <w:bottom w:val="single" w:sz="8" w:space="0" w:color="808080"/>
                    <w:right w:val="nil"/>
                  </w:tcBorders>
                  <w:shd w:val="clear" w:color="000000" w:fill="0000FF"/>
                  <w:hideMark/>
                </w:tcPr>
                <w:p w:rsidR="009E49E9" w:rsidRPr="009E49E9" w:rsidRDefault="009E49E9" w:rsidP="009E49E9">
                  <w:pPr>
                    <w:spacing w:after="0" w:line="240" w:lineRule="auto"/>
                    <w:jc w:val="center"/>
                    <w:rPr>
                      <w:rFonts w:ascii="Bangle" w:eastAsia="Times New Roman" w:hAnsi="Bangle" w:cs="Arial"/>
                      <w:b/>
                      <w:bCs/>
                      <w:color w:val="FFFFFF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n-CA"/>
                    </w:rPr>
                    <w:drawing>
                      <wp:anchor distT="0" distB="0" distL="114300" distR="114300" simplePos="0" relativeHeight="251658240" behindDoc="0" locked="0" layoutInCell="1" allowOverlap="1" wp14:anchorId="624FBABE" wp14:editId="27BC04DC">
                        <wp:simplePos x="0" y="0"/>
                        <wp:positionH relativeFrom="column">
                          <wp:posOffset>1552575</wp:posOffset>
                        </wp:positionH>
                        <wp:positionV relativeFrom="paragraph">
                          <wp:posOffset>15875</wp:posOffset>
                        </wp:positionV>
                        <wp:extent cx="238125" cy="180975"/>
                        <wp:effectExtent l="0" t="0" r="9525" b="9525"/>
                        <wp:wrapNone/>
                        <wp:docPr id="1" name="Image 1" descr="drapo france copi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1" name="Picture 4" descr="drapo france co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49E9">
                    <w:rPr>
                      <w:rFonts w:ascii="Bangle" w:eastAsia="Times New Roman" w:hAnsi="Bangle" w:cs="Arial"/>
                      <w:b/>
                      <w:bCs/>
                      <w:color w:val="FFFFFF"/>
                      <w:sz w:val="16"/>
                      <w:szCs w:val="16"/>
                      <w:lang w:eastAsia="en-CA"/>
                    </w:rPr>
                    <w:t xml:space="preserve">FRANCE </w:t>
                  </w:r>
                </w:p>
              </w:tc>
            </w:tr>
          </w:tbl>
          <w:p w:rsidR="009E49E9" w:rsidRPr="009E49E9" w:rsidRDefault="009E49E9" w:rsidP="009E4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244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  <w:t>1. PROFILE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 xml:space="preserve">Population 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34.8 million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proofErr w:type="spell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july</w:t>
            </w:r>
            <w:proofErr w:type="spellEnd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2012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65.3 million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</w:t>
            </w:r>
            <w:proofErr w:type="spellStart"/>
            <w:proofErr w:type="gram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jan</w:t>
            </w:r>
            <w:proofErr w:type="gram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.</w:t>
            </w:r>
            <w:proofErr w:type="spell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2012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Surface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9.970.610 km</w:t>
            </w: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vertAlign w:val="superscript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675.417 km</w:t>
            </w: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vertAlign w:val="superscript"/>
                <w:lang w:eastAsia="en-CA"/>
              </w:rPr>
              <w:t xml:space="preserve">2 </w:t>
            </w:r>
          </w:p>
        </w:tc>
        <w:tc>
          <w:tcPr>
            <w:tcW w:w="12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proofErr w:type="spellStart"/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Capitale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Ottawa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Paris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Government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Constitutional Monarchy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Republic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Federal state with democratic  parliamentary representation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Pluralist democracy with elected President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vMerge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70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Currency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Canadian Dollar 1CDN $ = 0.78 €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proofErr w:type="spellStart"/>
            <w:proofErr w:type="gram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nov</w:t>
            </w:r>
            <w:proofErr w:type="gramEnd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.</w:t>
            </w:r>
            <w:proofErr w:type="spellEnd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2012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Euro 1 € = 1.28 CDN $</w:t>
            </w:r>
          </w:p>
        </w:tc>
        <w:tc>
          <w:tcPr>
            <w:tcW w:w="1250" w:type="dxa"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proofErr w:type="spellStart"/>
            <w:proofErr w:type="gram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nov</w:t>
            </w:r>
            <w:proofErr w:type="gram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.</w:t>
            </w:r>
            <w:proofErr w:type="spell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2012</w:t>
            </w:r>
          </w:p>
        </w:tc>
      </w:tr>
      <w:tr w:rsidR="009E49E9" w:rsidRPr="009E49E9" w:rsidTr="009E49E9">
        <w:trPr>
          <w:trHeight w:val="270"/>
        </w:trPr>
        <w:tc>
          <w:tcPr>
            <w:tcW w:w="24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  <w:t>2. ECONOMIC INDICATORS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40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 xml:space="preserve">GDP          </w:t>
            </w: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 xml:space="preserve"> value in US $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US $</w:t>
            </w: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1,770 billion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2012 (f) </w:t>
            </w:r>
          </w:p>
        </w:tc>
        <w:tc>
          <w:tcPr>
            <w:tcW w:w="3056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 xml:space="preserve"> US $ </w:t>
            </w: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2,580 billion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2012 (f) 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right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world ranking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11</w:t>
            </w: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vertAlign w:val="superscript"/>
                <w:lang w:eastAsia="en-CA"/>
              </w:rPr>
              <w:t>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2012 (f) 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5</w:t>
            </w: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vertAlign w:val="superscript"/>
                <w:lang w:eastAsia="en-CA"/>
              </w:rPr>
              <w:t>th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2012 (f) 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right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 xml:space="preserve">             GDP per capita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</w:t>
            </w: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 US $</w:t>
            </w: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50,826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2012 (f) 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 xml:space="preserve">US $ </w:t>
            </w: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40,690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2012 (f) 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GDP Growth rate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2012 (f) 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nil"/>
              <w:right w:val="single" w:sz="8" w:space="0" w:color="969696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2011 (e) 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2013 (f) </w:t>
            </w:r>
          </w:p>
        </w:tc>
        <w:tc>
          <w:tcPr>
            <w:tcW w:w="3056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2011 (f) 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2014 (f)</w:t>
            </w:r>
          </w:p>
        </w:tc>
        <w:tc>
          <w:tcPr>
            <w:tcW w:w="3056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2012 (f)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Inflation rate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oct.2012/11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>jan.2012/11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2012 (</w:t>
            </w:r>
            <w:proofErr w:type="spell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)(f)</w:t>
            </w:r>
          </w:p>
        </w:tc>
        <w:tc>
          <w:tcPr>
            <w:tcW w:w="3056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2012 (</w:t>
            </w:r>
            <w:proofErr w:type="spell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)(f)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2013 (</w:t>
            </w:r>
            <w:proofErr w:type="spell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)(f)</w:t>
            </w:r>
          </w:p>
        </w:tc>
        <w:tc>
          <w:tcPr>
            <w:tcW w:w="3056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2013 (</w:t>
            </w:r>
            <w:proofErr w:type="spell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)(f)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Unemployment rate</w:t>
            </w:r>
          </w:p>
        </w:tc>
        <w:tc>
          <w:tcPr>
            <w:tcW w:w="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 xml:space="preserve">% </w:t>
            </w:r>
          </w:p>
        </w:tc>
        <w:tc>
          <w:tcPr>
            <w:tcW w:w="2511" w:type="dxa"/>
            <w:gridSpan w:val="2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7.4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  <w:proofErr w:type="spellStart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oct.</w:t>
            </w:r>
            <w:proofErr w:type="spellEnd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 xml:space="preserve"> 2012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>10.7</w:t>
            </w:r>
          </w:p>
        </w:tc>
        <w:tc>
          <w:tcPr>
            <w:tcW w:w="1250" w:type="dxa"/>
            <w:tcBorders>
              <w:top w:val="single" w:sz="4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>oct.2012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2012 (</w:t>
            </w:r>
            <w:proofErr w:type="spell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)(f)</w:t>
            </w:r>
          </w:p>
        </w:tc>
        <w:tc>
          <w:tcPr>
            <w:tcW w:w="3056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10.1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2012 (</w:t>
            </w:r>
            <w:proofErr w:type="spell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)(f)</w:t>
            </w:r>
          </w:p>
        </w:tc>
      </w:tr>
      <w:tr w:rsidR="009E49E9" w:rsidRPr="009E49E9" w:rsidTr="009E49E9">
        <w:trPr>
          <w:trHeight w:val="270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2013 (</w:t>
            </w:r>
            <w:proofErr w:type="spell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)(f)</w:t>
            </w:r>
          </w:p>
        </w:tc>
        <w:tc>
          <w:tcPr>
            <w:tcW w:w="305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10.5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2013 (</w:t>
            </w:r>
            <w:proofErr w:type="spell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avg</w:t>
            </w:r>
            <w:proofErr w:type="spell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)(f)</w:t>
            </w:r>
          </w:p>
        </w:tc>
      </w:tr>
      <w:tr w:rsidR="009E49E9" w:rsidRPr="009E49E9" w:rsidTr="009E49E9">
        <w:trPr>
          <w:trHeight w:val="270"/>
        </w:trPr>
        <w:tc>
          <w:tcPr>
            <w:tcW w:w="24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  <w:t xml:space="preserve">3. PUBLIC FINANCE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% of GDP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% of GDP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808080"/>
              <w:right w:val="single" w:sz="8" w:space="0" w:color="969696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right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overall government financial balances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-3.5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2012 (f) </w:t>
            </w:r>
          </w:p>
        </w:tc>
        <w:tc>
          <w:tcPr>
            <w:tcW w:w="189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-4.5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2012 (f) </w:t>
            </w:r>
          </w:p>
        </w:tc>
      </w:tr>
      <w:tr w:rsidR="009E49E9" w:rsidRPr="009E49E9" w:rsidTr="009E49E9">
        <w:trPr>
          <w:trHeight w:val="270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2013 (f) </w:t>
            </w:r>
          </w:p>
        </w:tc>
        <w:tc>
          <w:tcPr>
            <w:tcW w:w="18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-3.4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808080"/>
              <w:right w:val="single" w:sz="8" w:space="0" w:color="969696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2013 (f) </w:t>
            </w:r>
          </w:p>
        </w:tc>
      </w:tr>
      <w:tr w:rsidR="009E49E9" w:rsidRPr="009E49E9" w:rsidTr="009E49E9">
        <w:trPr>
          <w:trHeight w:val="270"/>
        </w:trPr>
        <w:tc>
          <w:tcPr>
            <w:tcW w:w="24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  <w:t xml:space="preserve">4. FOREIGN TRADE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Foreign Trade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  $CAD billion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 % GDP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 xml:space="preserve"> € billion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% GDP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right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Exports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448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390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right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Imports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446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432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right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Trade balance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-42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Five main export markets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1°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USA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73.7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Germany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18.0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2°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UK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Italy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9.0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3°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China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Spain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7.8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4°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Japan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Belgium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7.7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5°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Mexico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UK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7.1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 France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(8°)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 xml:space="preserve"> Canada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(32°)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Five leading supplier countries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1°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USA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49.5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Germany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20.0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2°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China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10.8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China + HK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9.5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3°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Mexico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5.5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Belgium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9.1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4°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Japan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Italy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8.5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5°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Germany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Spain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7.0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 France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(8°)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 xml:space="preserve"> Canada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(35°)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Leading exports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Energy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Industrial goods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43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Industrial goods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Transports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Machinery-</w:t>
            </w:r>
            <w:proofErr w:type="spell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Eqpt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Machinery-</w:t>
            </w:r>
            <w:proofErr w:type="spell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Eqpt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70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Cars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Agri</w:t>
            </w:r>
            <w:proofErr w:type="spellEnd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-food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10.5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Leading imports</w:t>
            </w:r>
          </w:p>
        </w:tc>
        <w:tc>
          <w:tcPr>
            <w:tcW w:w="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Machinery-</w:t>
            </w:r>
            <w:proofErr w:type="spellStart"/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lastRenderedPageBreak/>
              <w:t>Eqpt</w:t>
            </w:r>
            <w:proofErr w:type="spellEnd"/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lastRenderedPageBreak/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18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Industrial goods </w:t>
            </w:r>
          </w:p>
        </w:tc>
        <w:tc>
          <w:tcPr>
            <w:tcW w:w="11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45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Industrial goods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Machinery-</w:t>
            </w:r>
            <w:proofErr w:type="spellStart"/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Eqpt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24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Cars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Transports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70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Cons. goods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Energy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70"/>
        </w:trPr>
        <w:tc>
          <w:tcPr>
            <w:tcW w:w="24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80"/>
                <w:sz w:val="16"/>
                <w:szCs w:val="16"/>
                <w:lang w:eastAsia="en-CA"/>
              </w:rPr>
              <w:t>5. DIRECT INVESTMENT: STOCKS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9E49E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Abroad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US $ 670 billion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3056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US $ 1 580 billion  </w:t>
            </w:r>
          </w:p>
        </w:tc>
        <w:tc>
          <w:tcPr>
            <w:tcW w:w="1250" w:type="dxa"/>
            <w:vMerge w:val="restart"/>
            <w:tcBorders>
              <w:top w:val="single" w:sz="8" w:space="0" w:color="808080"/>
              <w:left w:val="single" w:sz="8" w:space="0" w:color="EEECE1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 xml:space="preserve">      World ranking  -   % share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9th -  3.2%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2nd  -  7.5%</w:t>
            </w:r>
          </w:p>
        </w:tc>
        <w:tc>
          <w:tcPr>
            <w:tcW w:w="1250" w:type="dxa"/>
            <w:vMerge/>
            <w:tcBorders>
              <w:top w:val="single" w:sz="8" w:space="0" w:color="808080"/>
              <w:left w:val="single" w:sz="8" w:space="0" w:color="EEECE1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250" w:type="dxa"/>
            <w:vMerge/>
            <w:tcBorders>
              <w:top w:val="single" w:sz="8" w:space="0" w:color="808080"/>
              <w:left w:val="single" w:sz="8" w:space="0" w:color="EEECE1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From abroad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US $ 590 billion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US $ 964 billion</w:t>
            </w:r>
          </w:p>
        </w:tc>
        <w:tc>
          <w:tcPr>
            <w:tcW w:w="1250" w:type="dxa"/>
            <w:vMerge/>
            <w:tcBorders>
              <w:top w:val="single" w:sz="8" w:space="0" w:color="808080"/>
              <w:left w:val="single" w:sz="8" w:space="0" w:color="EEECE1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 xml:space="preserve">      World ranking  -  % share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10th  -  2.9%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3th  -  4.7%</w:t>
            </w:r>
          </w:p>
        </w:tc>
        <w:tc>
          <w:tcPr>
            <w:tcW w:w="1250" w:type="dxa"/>
            <w:vMerge/>
            <w:tcBorders>
              <w:top w:val="single" w:sz="8" w:space="0" w:color="808080"/>
              <w:left w:val="single" w:sz="8" w:space="0" w:color="EEECE1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Five leading target countries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% 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18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1°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USA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40.3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USA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17.5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2°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UK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12.1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Belgium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14.7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3°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Barbados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7.7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Netherlands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10.3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4°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Cayman islands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UK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9.3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5°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Ireland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Germany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 France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(19°)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 xml:space="preserve"> Canada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(16°)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Five leading investors countries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%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2011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1°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USA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53.6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Netherlands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17.6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2°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Netherlands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9.2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Luxembourg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14.3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3°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UK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USA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12.5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4°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Luxembourg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UK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10.7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333333"/>
                <w:sz w:val="16"/>
                <w:szCs w:val="16"/>
                <w:lang w:eastAsia="en-CA"/>
              </w:rPr>
              <w:t>5°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Suisse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 xml:space="preserve"> Germany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  <w:t>10.6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i/>
                <w:i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i/>
                <w:i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i/>
                <w:i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333333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</w:t>
            </w: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France</w:t>
            </w:r>
            <w:r w:rsidRPr="009E49E9"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  <w:t xml:space="preserve">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(7°)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 xml:space="preserve"> Canada </w:t>
            </w:r>
            <w:r w:rsidRPr="009E49E9">
              <w:rPr>
                <w:rFonts w:ascii="Bangle" w:eastAsia="Times New Roman" w:hAnsi="Bangle" w:cs="Arial"/>
                <w:b/>
                <w:bCs/>
                <w:sz w:val="16"/>
                <w:szCs w:val="16"/>
                <w:lang w:eastAsia="en-CA"/>
              </w:rPr>
              <w:t>(12°)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b/>
                <w:bCs/>
                <w:i/>
                <w:iCs/>
                <w:color w:val="333333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b/>
                <w:bCs/>
                <w:i/>
                <w:iCs/>
                <w:color w:val="333333"/>
                <w:sz w:val="16"/>
                <w:szCs w:val="16"/>
                <w:lang w:eastAsia="en-CA"/>
              </w:rPr>
              <w:t xml:space="preserve">Sources: </w:t>
            </w:r>
          </w:p>
        </w:tc>
        <w:tc>
          <w:tcPr>
            <w:tcW w:w="4023" w:type="dxa"/>
            <w:gridSpan w:val="4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 xml:space="preserve">1 - </w:t>
            </w:r>
            <w:proofErr w:type="spellStart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StatCan</w:t>
            </w:r>
            <w:proofErr w:type="spellEnd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 xml:space="preserve"> - Bank of Canada ; 2 - IMF - </w:t>
            </w:r>
            <w:proofErr w:type="spellStart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StatCan</w:t>
            </w:r>
            <w:proofErr w:type="spellEnd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 xml:space="preserve">   </w:t>
            </w:r>
          </w:p>
        </w:tc>
        <w:tc>
          <w:tcPr>
            <w:tcW w:w="4306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 xml:space="preserve">1 - INSEE - Bank of Canada ; 2 - IMF - INSEE   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808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808080"/>
                <w:sz w:val="16"/>
                <w:szCs w:val="16"/>
                <w:lang w:eastAsia="en-CA"/>
              </w:rPr>
              <w:t xml:space="preserve">Canadian Embassy, Paris  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 xml:space="preserve">3 - OECD ; 4 - </w:t>
            </w:r>
            <w:proofErr w:type="spellStart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StatCan</w:t>
            </w:r>
            <w:proofErr w:type="spellEnd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 xml:space="preserve"> ; 5 - UNCTAD - </w:t>
            </w:r>
            <w:proofErr w:type="spellStart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>StatCan</w:t>
            </w:r>
            <w:proofErr w:type="spellEnd"/>
            <w:r w:rsidRPr="009E49E9"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  <w:t xml:space="preserve">    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 xml:space="preserve">3 - OECD ; 4 - French customs ; 5 - UNCTAD - </w:t>
            </w:r>
            <w:proofErr w:type="spellStart"/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>Banque</w:t>
            </w:r>
            <w:proofErr w:type="spellEnd"/>
            <w:r w:rsidRPr="009E49E9"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  <w:t xml:space="preserve"> de France </w:t>
            </w: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808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808080"/>
                <w:sz w:val="16"/>
                <w:szCs w:val="16"/>
                <w:lang w:eastAsia="en-CA"/>
              </w:rPr>
              <w:t xml:space="preserve">Economic Section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i/>
                <w:iCs/>
                <w:color w:val="808080"/>
                <w:sz w:val="16"/>
                <w:szCs w:val="16"/>
                <w:lang w:eastAsia="en-CA"/>
              </w:rPr>
            </w:pPr>
            <w:r w:rsidRPr="009E49E9">
              <w:rPr>
                <w:rFonts w:ascii="Bangle" w:eastAsia="Times New Roman" w:hAnsi="Bangle" w:cs="Arial"/>
                <w:i/>
                <w:iCs/>
                <w:color w:val="808080"/>
                <w:sz w:val="16"/>
                <w:szCs w:val="16"/>
                <w:lang w:eastAsia="en-CA"/>
              </w:rPr>
              <w:t>19/12/2012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</w:tr>
      <w:tr w:rsidR="009E49E9" w:rsidRPr="009E49E9" w:rsidTr="009E49E9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jc w:val="center"/>
              <w:rPr>
                <w:rFonts w:ascii="Bangle" w:eastAsia="Times New Roman" w:hAnsi="Bangle" w:cs="Arial"/>
                <w:color w:val="333333"/>
                <w:sz w:val="16"/>
                <w:szCs w:val="16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E9" w:rsidRPr="009E49E9" w:rsidRDefault="009E49E9" w:rsidP="009E49E9">
            <w:pPr>
              <w:spacing w:after="0" w:line="240" w:lineRule="auto"/>
              <w:rPr>
                <w:rFonts w:ascii="Bangle" w:eastAsia="Times New Roman" w:hAnsi="Bangle" w:cs="Arial"/>
                <w:color w:val="0000FF"/>
                <w:sz w:val="16"/>
                <w:szCs w:val="16"/>
                <w:lang w:eastAsia="en-CA"/>
              </w:rPr>
            </w:pPr>
          </w:p>
        </w:tc>
      </w:tr>
    </w:tbl>
    <w:p w:rsidR="00762CB7" w:rsidRDefault="009E49E9">
      <w:r>
        <w:t xml:space="preserve">                               </w:t>
      </w:r>
      <w:r>
        <w:rPr>
          <w:noProof/>
          <w:lang w:eastAsia="en-CA"/>
        </w:rPr>
        <w:drawing>
          <wp:inline distT="0" distB="0" distL="0" distR="0" wp14:anchorId="4ACA445E" wp14:editId="3AB886C2">
            <wp:extent cx="5619750" cy="361950"/>
            <wp:effectExtent l="0" t="0" r="0" b="0"/>
            <wp:docPr id="1402" name="Picture 5" descr="cl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Picture 5" descr="cl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62CB7" w:rsidSect="009E49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ng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E9"/>
    <w:rsid w:val="001568D0"/>
    <w:rsid w:val="009E49E9"/>
    <w:rsid w:val="00A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2849</Characters>
  <Application>Microsoft Office Word</Application>
  <DocSecurity>0</DocSecurity>
  <Lines>49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Jacques-Henri -PARIS -GR</dc:creator>
  <cp:keywords/>
  <dc:description/>
  <cp:lastModifiedBy>Gagnon, Jacques-Henri -PARIS -GR</cp:lastModifiedBy>
  <cp:revision>1</cp:revision>
  <dcterms:created xsi:type="dcterms:W3CDTF">2012-12-20T14:32:00Z</dcterms:created>
  <dcterms:modified xsi:type="dcterms:W3CDTF">2012-12-20T14:38:00Z</dcterms:modified>
</cp:coreProperties>
</file>